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26" w:rsidRPr="00FB4026" w:rsidRDefault="00FB4026" w:rsidP="00FB4026">
      <w:pPr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FB4026">
        <w:rPr>
          <w:rFonts w:ascii="Liberation Serif" w:hAnsi="Liberation Serif"/>
          <w:b/>
          <w:sz w:val="32"/>
          <w:szCs w:val="32"/>
        </w:rPr>
        <w:t>ЗАКЛЮЧЕНИЕ</w:t>
      </w:r>
    </w:p>
    <w:p w:rsidR="00FB4026" w:rsidRPr="00FB4026" w:rsidRDefault="00FB4026" w:rsidP="00FB4026">
      <w:pPr>
        <w:contextualSpacing/>
        <w:jc w:val="center"/>
        <w:rPr>
          <w:rFonts w:ascii="Liberation Serif" w:hAnsi="Liberation Serif"/>
        </w:rPr>
      </w:pPr>
      <w:r w:rsidRPr="00FB4026">
        <w:rPr>
          <w:rFonts w:ascii="Liberation Serif" w:hAnsi="Liberation Serif"/>
          <w:b/>
          <w:sz w:val="28"/>
          <w:szCs w:val="28"/>
        </w:rPr>
        <w:t>о результатах экспертизы нормативного правового акта</w:t>
      </w:r>
      <w:r w:rsidRPr="00FB4026">
        <w:rPr>
          <w:rFonts w:ascii="Liberation Serif" w:hAnsi="Liberation Serif"/>
          <w:b/>
          <w:sz w:val="28"/>
          <w:szCs w:val="28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5"/>
        <w:gridCol w:w="858"/>
        <w:gridCol w:w="125"/>
        <w:gridCol w:w="442"/>
        <w:gridCol w:w="267"/>
        <w:gridCol w:w="284"/>
        <w:gridCol w:w="992"/>
        <w:gridCol w:w="434"/>
        <w:gridCol w:w="558"/>
        <w:gridCol w:w="441"/>
        <w:gridCol w:w="268"/>
        <w:gridCol w:w="992"/>
        <w:gridCol w:w="567"/>
        <w:gridCol w:w="425"/>
        <w:gridCol w:w="300"/>
        <w:gridCol w:w="275"/>
        <w:gridCol w:w="559"/>
        <w:gridCol w:w="1434"/>
      </w:tblGrid>
      <w:tr w:rsidR="00FB4026" w:rsidRPr="00FB4026" w:rsidTr="00EC08C1"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 Общая информация</w:t>
            </w: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 вступления в силу акта и его отдельных положений: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Разработчик нормативного правового акта: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Сфера муниципального регулирования: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</w:t>
            </w:r>
          </w:p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141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141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оценки регулирующего воздействия положений нормативного правового акта (для актов, по которым не проводилась ОРВ, данные раздел не заполняется)</w:t>
            </w:r>
          </w:p>
        </w:tc>
      </w:tr>
      <w:tr w:rsidR="00FB4026" w:rsidRPr="00FB4026" w:rsidTr="00EC08C1">
        <w:trPr>
          <w:trHeight w:val="260"/>
        </w:trPr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Проводилось:            Да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/   Н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ет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1.6.2.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Степень регулирующего воздействия положений нормативного правового проекта акта:                 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высокая      /  средняя     /   низкая 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1.6.3.</w:t>
            </w:r>
          </w:p>
          <w:p w:rsidR="00FB4026" w:rsidRPr="00FB4026" w:rsidRDefault="00FB4026" w:rsidP="00FB4026">
            <w:pPr>
              <w:ind w:left="60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ind w:left="60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начало: "__" _________ 20__ г.;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окончание: "__" _________ 20__ г.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1.6.4.</w:t>
            </w:r>
          </w:p>
          <w:p w:rsidR="00FB4026" w:rsidRPr="00FB4026" w:rsidRDefault="00FB4026" w:rsidP="00FB4026">
            <w:pPr>
              <w:ind w:left="60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Сроки проведения публичных консультаций проекта нормативного правового акта: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начало: "__" _________ 201_ г.;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окончание: "__" _________ 201_ г.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1.6.5.</w:t>
            </w: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Подразделение, проводившее оценку регулирующего воздействия</w:t>
            </w:r>
          </w:p>
        </w:tc>
      </w:tr>
      <w:tr w:rsidR="00FB4026" w:rsidRPr="00FB4026" w:rsidTr="00EC08C1">
        <w:trPr>
          <w:trHeight w:val="81"/>
        </w:trPr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ind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1.6.6.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Полный электронный адрес размещения заключения об оценке регулирующего воздействия проекта </w:t>
            </w:r>
          </w:p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нормативного правового акта: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ind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1.6.7.</w:t>
            </w: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ind w:left="1418" w:hanging="851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ind w:left="602"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gridSpan w:val="16"/>
            <w:shd w:val="clear" w:color="auto" w:fill="auto"/>
          </w:tcPr>
          <w:p w:rsidR="00FB4026" w:rsidRPr="00FB4026" w:rsidRDefault="00FB4026" w:rsidP="00FB4026">
            <w:pPr>
              <w:ind w:hanging="568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Контактная информация исполнителя: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gridSpan w:val="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5819" w:type="dxa"/>
            <w:gridSpan w:val="10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gridSpan w:val="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819" w:type="dxa"/>
            <w:gridSpan w:val="10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gridSpan w:val="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819" w:type="dxa"/>
            <w:gridSpan w:val="10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gridSpan w:val="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819" w:type="dxa"/>
            <w:gridSpan w:val="10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FB4026" w:rsidRPr="00FB4026" w:rsidTr="00EC08C1"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2.1 Группа участников отношений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2.2 Данные о количестве участников отношений в настоящее время</w:t>
            </w: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2.3 Данные об изменениях  количества участников отношений в течение срока действия нормативного правового акта</w:t>
            </w:r>
          </w:p>
        </w:tc>
      </w:tr>
      <w:tr w:rsidR="00FB4026" w:rsidRPr="00FB4026" w:rsidTr="00EC08C1"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Источники данных: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3. Оценка степени решения проблемы и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преодоления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связанных с ней негативных эффектов за счёт регулирования</w:t>
            </w: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3.1.</w:t>
            </w:r>
          </w:p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Описание проблемы, на решение которой направлено регулирование, </w:t>
            </w:r>
          </w:p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установленное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нормативным правовым актом, и связанных с  ней эффектов: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3.2.</w:t>
            </w:r>
          </w:p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Оценка степени решения проблемы и негативных эффектов, вязанных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проблемной:</w:t>
            </w:r>
          </w:p>
        </w:tc>
      </w:tr>
      <w:tr w:rsidR="00FB4026" w:rsidRPr="00FB4026" w:rsidTr="00EC08C1"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675" w:type="dxa"/>
            <w:vMerge w:val="restart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Источники данных:</w:t>
            </w:r>
          </w:p>
        </w:tc>
      </w:tr>
      <w:tr w:rsidR="00FB4026" w:rsidRPr="00FB4026" w:rsidTr="00EC08C1">
        <w:trPr>
          <w:trHeight w:val="83"/>
        </w:trPr>
        <w:tc>
          <w:tcPr>
            <w:tcW w:w="675" w:type="dxa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18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151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муниципального образования, расположенных на территории муниципального образования</w:t>
            </w: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4.2. Качественное описание расходов и поступлений консолидированного бюджета Камышловского муниципального района</w:t>
            </w: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FB4026" w:rsidRPr="00FB4026" w:rsidTr="00EC08C1">
        <w:trPr>
          <w:trHeight w:val="305"/>
        </w:trPr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4.1.1. Функция №...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4.2.1. Расходы в год: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Вид расходов №...</w:t>
            </w: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2786" w:type="dxa"/>
            <w:gridSpan w:val="7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4.2.2. Поступления в год: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Вид поступления №...</w:t>
            </w:r>
          </w:p>
        </w:tc>
        <w:tc>
          <w:tcPr>
            <w:tcW w:w="3560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4.4.</w:t>
            </w: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Итого расходы по (функции №...) в год: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4.5.</w:t>
            </w: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Итого поступления по (функции №...) в год: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Итого расходы в год, в том числе по уровням бюджетной системы: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федеральный бюджет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региональный бюджет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местный бюджет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внебюджетные фонды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4.7.</w:t>
            </w: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федеральный бюджет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региональный бюджет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местный бюджет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1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- внебюджетные фонды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4.8.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4.9.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Источники данных: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 Оценка фактических расходов, выгод (преимуществ) субъектов предпринимательской деятельности,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B4026" w:rsidRPr="00FB4026" w:rsidTr="00EC08C1">
        <w:trPr>
          <w:trHeight w:val="305"/>
        </w:trPr>
        <w:tc>
          <w:tcPr>
            <w:tcW w:w="2235" w:type="dxa"/>
            <w:gridSpan w:val="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5.3. Описание видов расходов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5.4. Количественная оценка</w:t>
            </w:r>
          </w:p>
        </w:tc>
      </w:tr>
      <w:tr w:rsidR="00FB4026" w:rsidRPr="00FB4026" w:rsidTr="00EC08C1">
        <w:trPr>
          <w:trHeight w:val="305"/>
        </w:trPr>
        <w:tc>
          <w:tcPr>
            <w:tcW w:w="2235" w:type="dxa"/>
            <w:gridSpan w:val="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(Обязанность или ограничение №...)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(Группа участников отношений №...)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1. Единовременные расходы (указать, когда возникают):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Вид расходов № 1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Вид расходов №...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2235" w:type="dxa"/>
            <w:gridSpan w:val="5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2. Расходы в год: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Вид расходов № 1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Вид расходов №...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5.5.</w:t>
            </w:r>
          </w:p>
        </w:tc>
        <w:tc>
          <w:tcPr>
            <w:tcW w:w="6953" w:type="dxa"/>
            <w:gridSpan w:val="14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Итого совокупные единовременные расходы: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5.6.</w:t>
            </w:r>
          </w:p>
        </w:tc>
        <w:tc>
          <w:tcPr>
            <w:tcW w:w="6953" w:type="dxa"/>
            <w:gridSpan w:val="14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Итого совокупные ежегодные расходы: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5.7.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Описание издержек, не поддающихся количественной оценке: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5.8.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5.9.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5.10.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Источники данных: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 xml:space="preserve">6. Оценка фактических положительных и отрицательных последствий регулирования </w:t>
            </w: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268" w:type="dxa"/>
            <w:gridSpan w:val="4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693" w:type="dxa"/>
            <w:gridSpan w:val="5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68" w:type="dxa"/>
            <w:gridSpan w:val="4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6.4. Количественная оценка</w:t>
            </w: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4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gridSpan w:val="4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6.5.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Оценка влияния на конкурентную среду в регионе: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6.6.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4026">
              <w:rPr>
                <w:rFonts w:ascii="Liberation Serif" w:hAnsi="Liberation Serif"/>
                <w:sz w:val="28"/>
                <w:szCs w:val="28"/>
              </w:rPr>
              <w:t>Источники данных: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 Сведения о реализации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методов контроля эффективности достижения цели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Камышловского муниципального района</w:t>
            </w: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7.1 Характеристика методов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достижением цели регулирования</w:t>
            </w:r>
          </w:p>
        </w:tc>
        <w:tc>
          <w:tcPr>
            <w:tcW w:w="3969" w:type="dxa"/>
            <w:gridSpan w:val="7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7.2 Описание результатов реализации методов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достижением цели регулирования</w:t>
            </w:r>
          </w:p>
        </w:tc>
        <w:tc>
          <w:tcPr>
            <w:tcW w:w="3560" w:type="dxa"/>
            <w:gridSpan w:val="6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7.3 Оценка расходов на осуществление контроля</w:t>
            </w: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7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6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7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6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2502" w:type="dxa"/>
            <w:gridSpan w:val="6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7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gridSpan w:val="6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7.4.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 xml:space="preserve">Общий объем расходов консолидированного бюджета Камышловского 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муниципального района: _________ млн. руб. за период ____ годов.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7.5.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Общий объем поступлений в консолидированный бюджет Камышловского муниципального района: _________ млн. руб. за период ____ годов.</w:t>
            </w: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 Оценка достижения заявленных целей регулирования</w:t>
            </w:r>
          </w:p>
        </w:tc>
      </w:tr>
      <w:tr w:rsidR="00FB4026" w:rsidRPr="00FB4026" w:rsidTr="00EC08C1">
        <w:trPr>
          <w:trHeight w:val="305"/>
        </w:trPr>
        <w:tc>
          <w:tcPr>
            <w:tcW w:w="1793" w:type="dxa"/>
            <w:gridSpan w:val="4"/>
            <w:shd w:val="clear" w:color="auto" w:fill="auto"/>
          </w:tcPr>
          <w:p w:rsidR="00FB4026" w:rsidRPr="00FB4026" w:rsidRDefault="00FB4026" w:rsidP="00FB4026">
            <w:pPr>
              <w:contextualSpacing/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 xml:space="preserve">8.1 Цель </w:t>
            </w:r>
          </w:p>
          <w:p w:rsidR="00FB4026" w:rsidRPr="00FB4026" w:rsidRDefault="00FB4026" w:rsidP="00FB4026">
            <w:pPr>
              <w:contextualSpacing/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регулирования</w:t>
            </w:r>
          </w:p>
        </w:tc>
        <w:tc>
          <w:tcPr>
            <w:tcW w:w="1985" w:type="dxa"/>
            <w:gridSpan w:val="4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 xml:space="preserve">8.2 Показатели </w:t>
            </w: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(индикаторы) достижения целей регулирования</w:t>
            </w:r>
          </w:p>
        </w:tc>
        <w:tc>
          <w:tcPr>
            <w:tcW w:w="1701" w:type="dxa"/>
            <w:gridSpan w:val="4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 xml:space="preserve">8.3 Способ </w:t>
            </w: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расчета показателя (индикатора)</w:t>
            </w:r>
          </w:p>
        </w:tc>
        <w:tc>
          <w:tcPr>
            <w:tcW w:w="1559" w:type="dxa"/>
            <w:gridSpan w:val="2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 xml:space="preserve">8.4 Значение </w:t>
            </w: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до введения в действие акта</w:t>
            </w:r>
          </w:p>
        </w:tc>
        <w:tc>
          <w:tcPr>
            <w:tcW w:w="1559" w:type="dxa"/>
            <w:gridSpan w:val="4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 xml:space="preserve">8.5 </w:t>
            </w: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434" w:type="dxa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 xml:space="preserve">8.6 </w:t>
            </w: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 xml:space="preserve">Текущее значение </w:t>
            </w:r>
          </w:p>
        </w:tc>
      </w:tr>
      <w:tr w:rsidR="00FB4026" w:rsidRPr="00FB4026" w:rsidTr="00EC08C1">
        <w:trPr>
          <w:trHeight w:val="305"/>
        </w:trPr>
        <w:tc>
          <w:tcPr>
            <w:tcW w:w="1793" w:type="dxa"/>
            <w:gridSpan w:val="4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Цель №1</w:t>
            </w:r>
          </w:p>
        </w:tc>
        <w:tc>
          <w:tcPr>
            <w:tcW w:w="1985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Индикатор №1</w:t>
            </w:r>
          </w:p>
        </w:tc>
        <w:tc>
          <w:tcPr>
            <w:tcW w:w="1701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793" w:type="dxa"/>
            <w:gridSpan w:val="4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Индикатор №2</w:t>
            </w:r>
          </w:p>
        </w:tc>
        <w:tc>
          <w:tcPr>
            <w:tcW w:w="1701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793" w:type="dxa"/>
            <w:gridSpan w:val="4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№..</w:t>
            </w:r>
          </w:p>
        </w:tc>
        <w:tc>
          <w:tcPr>
            <w:tcW w:w="1985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Индикатор №1</w:t>
            </w:r>
          </w:p>
        </w:tc>
        <w:tc>
          <w:tcPr>
            <w:tcW w:w="1701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793" w:type="dxa"/>
            <w:gridSpan w:val="4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Индикатор №2</w:t>
            </w:r>
          </w:p>
        </w:tc>
        <w:tc>
          <w:tcPr>
            <w:tcW w:w="1701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8.7.Источники данных</w:t>
            </w: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497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9.Сведения о проведении публичного обсуждения нормативного правового акта </w:t>
            </w:r>
          </w:p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 заключения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9.1.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Общие сроки проведения публичного обсуждения: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начало: «___» ___________ 20__г.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окончание: «___» ___________ 20__г.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9.2.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 xml:space="preserve">Полный электронный адрес размещения нормативного правового акта, 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сводки предложений и заключения на официальном сайте: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ind w:left="284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9.3.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 xml:space="preserve">Описание иных форм проведения публичного обсуждения с указанием 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способа представления мнений и сроков обсуждения: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9.4.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 xml:space="preserve">Иные сведения о проведении публичного обсуждения нормативного </w:t>
            </w:r>
          </w:p>
          <w:p w:rsidR="00FB4026" w:rsidRPr="00FB4026" w:rsidRDefault="00FB4026" w:rsidP="00FB402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026">
              <w:rPr>
                <w:rFonts w:ascii="Liberation Serif" w:hAnsi="Liberation Serif" w:cs="Liberation Serif"/>
                <w:sz w:val="28"/>
                <w:szCs w:val="28"/>
              </w:rPr>
              <w:t>правового акта и заключения: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ind w:left="28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10. Выводы о достижении заявленных целей за счет регулирования, </w:t>
            </w:r>
          </w:p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 эффективности решения проблем и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преодоления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Выводы о достижении целей регулирования: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Выводы об эффективности решения проблем и </w:t>
            </w:r>
            <w:proofErr w:type="gramStart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преодоления</w:t>
            </w:r>
            <w:proofErr w:type="gramEnd"/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связанных с ними негативных эффектов: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Иные выводы о фактическом воздействии регулирования: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10031" w:type="dxa"/>
            <w:gridSpan w:val="19"/>
            <w:shd w:val="clear" w:color="auto" w:fill="D9D9D9"/>
          </w:tcPr>
          <w:p w:rsidR="00FB4026" w:rsidRPr="00FB4026" w:rsidRDefault="00FB4026" w:rsidP="00FB402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11.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Содержание предложения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предложения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 w:val="restart"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12.3.</w:t>
            </w: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FB4026" w:rsidRPr="00FB4026" w:rsidTr="00EC08C1">
        <w:trPr>
          <w:trHeight w:val="305"/>
        </w:trPr>
        <w:tc>
          <w:tcPr>
            <w:tcW w:w="810" w:type="dxa"/>
            <w:gridSpan w:val="2"/>
            <w:vMerge/>
            <w:shd w:val="clear" w:color="auto" w:fill="auto"/>
          </w:tcPr>
          <w:p w:rsidR="00FB4026" w:rsidRPr="00FB4026" w:rsidRDefault="00FB4026" w:rsidP="00FB4026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gridSpan w:val="17"/>
            <w:shd w:val="clear" w:color="auto" w:fill="auto"/>
          </w:tcPr>
          <w:p w:rsidR="00FB4026" w:rsidRPr="00FB4026" w:rsidRDefault="00FB4026" w:rsidP="00FB402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B4026" w:rsidRPr="00FB4026" w:rsidRDefault="00FB4026" w:rsidP="00FB4026">
      <w:pPr>
        <w:contextualSpacing/>
        <w:jc w:val="center"/>
        <w:rPr>
          <w:rFonts w:ascii="Liberation Serif" w:hAnsi="Liberation Serif"/>
        </w:rPr>
      </w:pPr>
    </w:p>
    <w:p w:rsidR="00FB4026" w:rsidRPr="00FB4026" w:rsidRDefault="00FB4026" w:rsidP="00FB4026">
      <w:pPr>
        <w:rPr>
          <w:rFonts w:ascii="Liberation Serif" w:hAnsi="Liberation Serif"/>
          <w:sz w:val="24"/>
          <w:szCs w:val="24"/>
        </w:rPr>
      </w:pPr>
      <w:r w:rsidRPr="00FB4026">
        <w:rPr>
          <w:rFonts w:ascii="Liberation Serif" w:hAnsi="Liberation Serif"/>
          <w:sz w:val="24"/>
          <w:szCs w:val="24"/>
        </w:rPr>
        <w:t>Приложение: Сводка предложений</w:t>
      </w:r>
    </w:p>
    <w:p w:rsidR="00FB4026" w:rsidRPr="00FB4026" w:rsidRDefault="00FB4026" w:rsidP="00FB4026">
      <w:pPr>
        <w:rPr>
          <w:rFonts w:ascii="Liberation Serif" w:hAnsi="Liberation Serif"/>
          <w:sz w:val="24"/>
          <w:szCs w:val="24"/>
        </w:rPr>
      </w:pPr>
    </w:p>
    <w:p w:rsidR="00FB4026" w:rsidRPr="00FB4026" w:rsidRDefault="00FB4026" w:rsidP="00FB402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FB4026">
        <w:rPr>
          <w:rFonts w:ascii="Liberation Serif" w:hAnsi="Liberation Serif"/>
          <w:sz w:val="28"/>
          <w:szCs w:val="28"/>
        </w:rPr>
        <w:t>РАЗРАБОТЧИК</w:t>
      </w:r>
    </w:p>
    <w:p w:rsidR="00FB4026" w:rsidRPr="00FB4026" w:rsidRDefault="00FB4026" w:rsidP="00FB402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B4026" w:rsidRPr="00FB4026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FB4026" w:rsidRPr="00FB4026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FB4026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FB4026" w:rsidRPr="00FB4026" w:rsidRDefault="00FB4026" w:rsidP="00FB402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FB4026" w:rsidRPr="00FB4026" w:rsidRDefault="00FB4026" w:rsidP="00FB402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B4026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FB4026" w:rsidRPr="00FB4026" w:rsidRDefault="00FB4026" w:rsidP="00FB402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045C3" w:rsidRPr="00FB4026" w:rsidRDefault="00E045C3" w:rsidP="00FB4026">
      <w:bookmarkStart w:id="0" w:name="_GoBack"/>
      <w:bookmarkEnd w:id="0"/>
    </w:p>
    <w:sectPr w:rsidR="00E045C3" w:rsidRPr="00FB4026" w:rsidSect="00CB3681">
      <w:pgSz w:w="11906" w:h="16838"/>
      <w:pgMar w:top="1134" w:right="424" w:bottom="851" w:left="1418" w:header="709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2"/>
    <w:rsid w:val="00052E29"/>
    <w:rsid w:val="0038684F"/>
    <w:rsid w:val="00707740"/>
    <w:rsid w:val="00B16D82"/>
    <w:rsid w:val="00B6412E"/>
    <w:rsid w:val="00BB6AB4"/>
    <w:rsid w:val="00BC4E31"/>
    <w:rsid w:val="00C405EF"/>
    <w:rsid w:val="00E045C3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6A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6A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4</cp:revision>
  <dcterms:created xsi:type="dcterms:W3CDTF">2017-03-16T06:30:00Z</dcterms:created>
  <dcterms:modified xsi:type="dcterms:W3CDTF">2022-02-09T12:02:00Z</dcterms:modified>
</cp:coreProperties>
</file>